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B8" w:rsidRPr="00365F27" w:rsidRDefault="00BF1905" w:rsidP="00F963B8">
      <w:pPr>
        <w:jc w:val="center"/>
        <w:rPr>
          <w:sz w:val="28"/>
          <w:szCs w:val="28"/>
        </w:rPr>
      </w:pPr>
      <w:r w:rsidRPr="00365F27">
        <w:rPr>
          <w:b/>
          <w:bCs/>
          <w:sz w:val="28"/>
          <w:szCs w:val="28"/>
        </w:rPr>
        <w:t xml:space="preserve">Анкета </w:t>
      </w:r>
    </w:p>
    <w:p w:rsidR="00F963B8" w:rsidRDefault="00BF1905" w:rsidP="00F963B8">
      <w:pPr>
        <w:jc w:val="center"/>
        <w:rPr>
          <w:sz w:val="28"/>
          <w:szCs w:val="28"/>
        </w:rPr>
      </w:pPr>
      <w:r w:rsidRPr="00365F27">
        <w:rPr>
          <w:sz w:val="28"/>
          <w:szCs w:val="28"/>
        </w:rPr>
        <w:t>«</w:t>
      </w:r>
      <w:r>
        <w:rPr>
          <w:sz w:val="28"/>
          <w:szCs w:val="28"/>
        </w:rPr>
        <w:t>Э</w:t>
      </w:r>
      <w:r w:rsidRPr="00365F27">
        <w:rPr>
          <w:sz w:val="28"/>
          <w:szCs w:val="28"/>
        </w:rPr>
        <w:t>ффективность и качество работы  общеобразовательн</w:t>
      </w:r>
      <w:r w:rsidR="00F963B8">
        <w:rPr>
          <w:sz w:val="28"/>
          <w:szCs w:val="28"/>
        </w:rPr>
        <w:t>ого</w:t>
      </w:r>
      <w:r w:rsidRPr="00365F27">
        <w:rPr>
          <w:sz w:val="28"/>
          <w:szCs w:val="28"/>
        </w:rPr>
        <w:t xml:space="preserve">  учреждени</w:t>
      </w:r>
      <w:r w:rsidR="00F963B8">
        <w:rPr>
          <w:sz w:val="28"/>
          <w:szCs w:val="28"/>
        </w:rPr>
        <w:t xml:space="preserve">я» </w:t>
      </w:r>
    </w:p>
    <w:p w:rsidR="00BF1905" w:rsidRDefault="00BF1905" w:rsidP="00BF1905">
      <w:pPr>
        <w:ind w:firstLine="360"/>
        <w:jc w:val="both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140"/>
        <w:gridCol w:w="3420"/>
      </w:tblGrid>
      <w:tr w:rsidR="00BF1905" w:rsidRPr="00534D4C" w:rsidTr="00DF0108">
        <w:tc>
          <w:tcPr>
            <w:tcW w:w="2268" w:type="dxa"/>
          </w:tcPr>
          <w:p w:rsidR="00BF1905" w:rsidRPr="00534D4C" w:rsidRDefault="00BF1905" w:rsidP="00DF0108">
            <w:r>
              <w:t xml:space="preserve">   </w:t>
            </w:r>
            <w:r w:rsidRPr="00534D4C">
              <w:t>Показатель</w:t>
            </w:r>
          </w:p>
        </w:tc>
        <w:tc>
          <w:tcPr>
            <w:tcW w:w="4140" w:type="dxa"/>
          </w:tcPr>
          <w:p w:rsidR="00BF1905" w:rsidRPr="00534D4C" w:rsidRDefault="00BF1905" w:rsidP="00DF0108">
            <w:r>
              <w:t xml:space="preserve">    </w:t>
            </w:r>
            <w:r w:rsidRPr="00534D4C">
              <w:t xml:space="preserve"> Критерии оценивания</w:t>
            </w:r>
          </w:p>
        </w:tc>
        <w:tc>
          <w:tcPr>
            <w:tcW w:w="3420" w:type="dxa"/>
          </w:tcPr>
          <w:p w:rsidR="00BF1905" w:rsidRPr="00534D4C" w:rsidRDefault="00BF1905" w:rsidP="00DF0108">
            <w:r>
              <w:t>Оценка деятельности</w:t>
            </w:r>
          </w:p>
        </w:tc>
      </w:tr>
      <w:tr w:rsidR="00BF1905" w:rsidRPr="00534D4C" w:rsidTr="00DF0108">
        <w:tc>
          <w:tcPr>
            <w:tcW w:w="2268" w:type="dxa"/>
          </w:tcPr>
          <w:p w:rsidR="00BF1905" w:rsidRPr="00534D4C" w:rsidRDefault="00BF1905" w:rsidP="00DF0108">
            <w:r w:rsidRPr="00534D4C">
              <w:t>1.Открытость и доступность информации об образовательной  организации.</w:t>
            </w:r>
          </w:p>
          <w:p w:rsidR="00BF1905" w:rsidRPr="00534D4C" w:rsidRDefault="00BF1905" w:rsidP="00DF0108"/>
        </w:tc>
        <w:tc>
          <w:tcPr>
            <w:tcW w:w="4140" w:type="dxa"/>
          </w:tcPr>
          <w:p w:rsidR="00BF1905" w:rsidRDefault="00BF1905" w:rsidP="00DF0108">
            <w:r w:rsidRPr="00534D4C">
              <w:t>-Наличие собственного интернет-сайта, соответствующего действующему законодательству;</w:t>
            </w:r>
          </w:p>
          <w:p w:rsidR="00BF1905" w:rsidRPr="00534D4C" w:rsidRDefault="00BF1905" w:rsidP="00DF0108">
            <w:r w:rsidRPr="00534D4C">
              <w:t>-Наличие управляющего совета и  совета школы;</w:t>
            </w:r>
          </w:p>
          <w:p w:rsidR="00BF1905" w:rsidRPr="00534D4C" w:rsidRDefault="00BF1905" w:rsidP="00DF0108">
            <w:r w:rsidRPr="00534D4C">
              <w:t>- Наличие свидетельства о регистрации прав на здания и сооружения;</w:t>
            </w:r>
          </w:p>
          <w:p w:rsidR="00BF1905" w:rsidRPr="00534D4C" w:rsidRDefault="00BF1905" w:rsidP="00DF0108">
            <w:r w:rsidRPr="00534D4C">
              <w:t>-Наличие свидетельства о регистрации прав на земельные участки;</w:t>
            </w:r>
          </w:p>
          <w:p w:rsidR="00BF1905" w:rsidRPr="00534D4C" w:rsidRDefault="00BF1905" w:rsidP="00DF0108">
            <w:r w:rsidRPr="00534D4C">
              <w:t xml:space="preserve">-Оформление лицензии на </w:t>
            </w:r>
            <w:proofErr w:type="gramStart"/>
            <w:r w:rsidRPr="00534D4C">
              <w:t>право ведения</w:t>
            </w:r>
            <w:proofErr w:type="gramEnd"/>
            <w:r w:rsidRPr="00534D4C">
              <w:t xml:space="preserve"> образовательной</w:t>
            </w:r>
            <w:r>
              <w:t xml:space="preserve"> деятельности</w:t>
            </w:r>
            <w:r w:rsidRPr="00534D4C">
              <w:t>.</w:t>
            </w:r>
          </w:p>
        </w:tc>
        <w:tc>
          <w:tcPr>
            <w:tcW w:w="3420" w:type="dxa"/>
          </w:tcPr>
          <w:p w:rsidR="00BF1905" w:rsidRDefault="00BF1905" w:rsidP="00DF0108">
            <w:r>
              <w:t>Да</w:t>
            </w:r>
          </w:p>
          <w:p w:rsidR="00BF1905" w:rsidRDefault="00BF1905" w:rsidP="00DF0108"/>
          <w:p w:rsidR="00BF1905" w:rsidRDefault="00BF1905" w:rsidP="00DF0108"/>
          <w:p w:rsidR="00BF1905" w:rsidRDefault="00BF1905" w:rsidP="00DF0108">
            <w:r>
              <w:t>Совет школы</w:t>
            </w:r>
          </w:p>
          <w:p w:rsidR="00BF1905" w:rsidRDefault="00BF1905" w:rsidP="00DF0108"/>
          <w:p w:rsidR="00BF1905" w:rsidRDefault="00BF1905" w:rsidP="00DF0108">
            <w:r>
              <w:t>Да</w:t>
            </w:r>
          </w:p>
          <w:p w:rsidR="00BF1905" w:rsidRDefault="00BF1905" w:rsidP="00DF0108"/>
          <w:p w:rsidR="00BF1905" w:rsidRDefault="00BF1905" w:rsidP="00DF0108"/>
          <w:p w:rsidR="00BF1905" w:rsidRDefault="00BF1905" w:rsidP="00DF0108">
            <w:r>
              <w:t>Да</w:t>
            </w:r>
          </w:p>
          <w:p w:rsidR="00BF1905" w:rsidRDefault="00BF1905" w:rsidP="00DF0108"/>
          <w:p w:rsidR="00BF1905" w:rsidRDefault="00BF1905" w:rsidP="00DF0108"/>
          <w:p w:rsidR="00BF1905" w:rsidRPr="00534D4C" w:rsidRDefault="00BF1905" w:rsidP="00DF0108">
            <w:r>
              <w:t>Да</w:t>
            </w:r>
          </w:p>
        </w:tc>
      </w:tr>
      <w:tr w:rsidR="00BF1905" w:rsidRPr="00534D4C" w:rsidTr="00DF0108">
        <w:tc>
          <w:tcPr>
            <w:tcW w:w="2268" w:type="dxa"/>
          </w:tcPr>
          <w:p w:rsidR="00BF1905" w:rsidRPr="00534D4C" w:rsidRDefault="00BF1905" w:rsidP="00DF0108">
            <w:r w:rsidRPr="00534D4C">
              <w:t>2.Комфортность условий и доступность получения услуг, в том числе для граждан с ограниченными возможностями  здоровья.</w:t>
            </w:r>
          </w:p>
          <w:p w:rsidR="00BF1905" w:rsidRPr="00534D4C" w:rsidRDefault="00BF1905" w:rsidP="00DF0108"/>
        </w:tc>
        <w:tc>
          <w:tcPr>
            <w:tcW w:w="4140" w:type="dxa"/>
          </w:tcPr>
          <w:p w:rsidR="00BF1905" w:rsidRPr="00534D4C" w:rsidRDefault="00BF1905" w:rsidP="00DF0108">
            <w:r w:rsidRPr="00534D4C">
              <w:t>-Соответствие требованиям пожарной безопасности в полном объеме;</w:t>
            </w:r>
          </w:p>
          <w:p w:rsidR="00BF1905" w:rsidRPr="00534D4C" w:rsidRDefault="00BF1905" w:rsidP="00DF0108">
            <w:r w:rsidRPr="00534D4C">
              <w:t>-Оснащение кнопкой тревожной сигнализации;</w:t>
            </w:r>
          </w:p>
          <w:p w:rsidR="00BF1905" w:rsidRPr="00534D4C" w:rsidRDefault="00BF1905" w:rsidP="00DF0108">
            <w:r w:rsidRPr="00534D4C">
              <w:t>-Охват школьников услугами дополнительного образования;</w:t>
            </w:r>
          </w:p>
          <w:p w:rsidR="00BF1905" w:rsidRPr="00534D4C" w:rsidRDefault="00BF1905" w:rsidP="00DF0108">
            <w:r w:rsidRPr="00534D4C">
              <w:t>-Охват школьников горячим питанием;</w:t>
            </w:r>
          </w:p>
          <w:p w:rsidR="00BF1905" w:rsidRPr="00534D4C" w:rsidRDefault="00BF1905" w:rsidP="00DF0108">
            <w:r w:rsidRPr="00534D4C">
              <w:t xml:space="preserve">-Обеспеченность </w:t>
            </w:r>
            <w:proofErr w:type="gramStart"/>
            <w:r w:rsidRPr="00534D4C">
              <w:t>обучающихся</w:t>
            </w:r>
            <w:proofErr w:type="gramEnd"/>
            <w:r w:rsidRPr="00534D4C">
              <w:t xml:space="preserve"> муниципального общеобразовательного учреждения учебниками, соответствующими требованиям законодательства;</w:t>
            </w:r>
          </w:p>
          <w:p w:rsidR="00BF1905" w:rsidRPr="00534D4C" w:rsidRDefault="00BF1905" w:rsidP="00DF0108">
            <w:r w:rsidRPr="00534D4C">
              <w:t>-Доля школьников, охваченных оздоровительной кампанией;</w:t>
            </w:r>
          </w:p>
          <w:p w:rsidR="00BF1905" w:rsidRPr="00534D4C" w:rsidRDefault="00BF1905" w:rsidP="00DF0108">
            <w:proofErr w:type="gramStart"/>
            <w:r w:rsidRPr="00534D4C">
              <w:t>-Доля учащихся, приходящихся на один компьютер, из имеющихся в учреждении на начало отчетного года;</w:t>
            </w:r>
            <w:proofErr w:type="gramEnd"/>
          </w:p>
          <w:p w:rsidR="00BF1905" w:rsidRPr="00534D4C" w:rsidRDefault="00BF1905" w:rsidP="00DF0108">
            <w:r w:rsidRPr="00534D4C">
              <w:t>-Отсутствие</w:t>
            </w:r>
            <w:r>
              <w:t>/наличие</w:t>
            </w:r>
            <w:r w:rsidRPr="00534D4C">
              <w:t xml:space="preserve"> детского травматизма</w:t>
            </w:r>
          </w:p>
        </w:tc>
        <w:tc>
          <w:tcPr>
            <w:tcW w:w="3420" w:type="dxa"/>
          </w:tcPr>
          <w:p w:rsidR="00BF1905" w:rsidRDefault="00BF1905" w:rsidP="00DF0108">
            <w:r>
              <w:t>Да</w:t>
            </w:r>
          </w:p>
          <w:p w:rsidR="00BF1905" w:rsidRDefault="00BF1905" w:rsidP="00DF0108"/>
          <w:p w:rsidR="00BF1905" w:rsidRDefault="00BF1905" w:rsidP="00DF0108">
            <w:r>
              <w:t>Да</w:t>
            </w:r>
          </w:p>
          <w:p w:rsidR="00BF1905" w:rsidRDefault="00BF1905" w:rsidP="00DF0108"/>
          <w:p w:rsidR="00BF1905" w:rsidRDefault="00BF1905" w:rsidP="00DF0108">
            <w:r>
              <w:t>84 чел – 75,6%</w:t>
            </w:r>
          </w:p>
          <w:p w:rsidR="00BF1905" w:rsidRDefault="00BF1905" w:rsidP="00DF0108"/>
          <w:p w:rsidR="00BF1905" w:rsidRDefault="00BF1905" w:rsidP="00DF0108">
            <w:r>
              <w:t>62%</w:t>
            </w:r>
          </w:p>
          <w:p w:rsidR="00BF1905" w:rsidRDefault="00BF1905" w:rsidP="00DF0108"/>
          <w:p w:rsidR="00BF1905" w:rsidRDefault="00BF1905" w:rsidP="00DF0108"/>
          <w:p w:rsidR="00BF1905" w:rsidRDefault="00BF1905" w:rsidP="00DF0108">
            <w:r>
              <w:t>100%</w:t>
            </w:r>
          </w:p>
          <w:p w:rsidR="00BF1905" w:rsidRDefault="00BF1905" w:rsidP="00DF0108"/>
          <w:p w:rsidR="00BF1905" w:rsidRDefault="00BF1905" w:rsidP="00DF0108"/>
          <w:p w:rsidR="00BF1905" w:rsidRDefault="00BF1905" w:rsidP="00DF0108"/>
          <w:p w:rsidR="00BF1905" w:rsidRDefault="00BF1905" w:rsidP="00DF0108">
            <w:r>
              <w:t>22,5%</w:t>
            </w:r>
          </w:p>
          <w:p w:rsidR="00BF1905" w:rsidRDefault="00BF1905" w:rsidP="00DF0108"/>
          <w:p w:rsidR="00BF1905" w:rsidRDefault="00BF1905" w:rsidP="00DF0108"/>
          <w:p w:rsidR="00BF1905" w:rsidRDefault="00BF1905" w:rsidP="00DF0108">
            <w:r>
              <w:t>5</w:t>
            </w:r>
          </w:p>
          <w:p w:rsidR="00BF1905" w:rsidRDefault="00BF1905" w:rsidP="00DF0108"/>
          <w:p w:rsidR="00BF1905" w:rsidRDefault="00BF1905" w:rsidP="00DF0108"/>
          <w:p w:rsidR="00BF1905" w:rsidRDefault="00BF1905" w:rsidP="00DF0108"/>
          <w:p w:rsidR="00BF1905" w:rsidRPr="00534D4C" w:rsidRDefault="00BF1905" w:rsidP="00DF0108">
            <w:r>
              <w:t>Нет</w:t>
            </w:r>
          </w:p>
        </w:tc>
      </w:tr>
      <w:tr w:rsidR="00BF1905" w:rsidRPr="00534D4C" w:rsidTr="00DF0108">
        <w:tc>
          <w:tcPr>
            <w:tcW w:w="2268" w:type="dxa"/>
          </w:tcPr>
          <w:p w:rsidR="00BF1905" w:rsidRPr="00534D4C" w:rsidRDefault="00BF1905" w:rsidP="00DF0108">
            <w:r>
              <w:t xml:space="preserve">3. Предоставление образовательных услуг. </w:t>
            </w:r>
          </w:p>
          <w:p w:rsidR="00BF1905" w:rsidRPr="00534D4C" w:rsidRDefault="00BF1905" w:rsidP="00DF0108"/>
        </w:tc>
        <w:tc>
          <w:tcPr>
            <w:tcW w:w="4140" w:type="dxa"/>
          </w:tcPr>
          <w:p w:rsidR="00BF1905" w:rsidRDefault="00BF1905" w:rsidP="00DF0108">
            <w:r w:rsidRPr="00534D4C">
              <w:t xml:space="preserve">-Доля </w:t>
            </w:r>
            <w:proofErr w:type="spellStart"/>
            <w:r w:rsidRPr="00534D4C">
              <w:t>необучающихся</w:t>
            </w:r>
            <w:proofErr w:type="spellEnd"/>
            <w:r w:rsidRPr="00534D4C">
              <w:t xml:space="preserve"> детей в возрасте от 7 до 18 лет, подлежащих </w:t>
            </w:r>
            <w:proofErr w:type="gramStart"/>
            <w:r w:rsidRPr="00534D4C">
              <w:t>обучению по результатам</w:t>
            </w:r>
            <w:proofErr w:type="gramEnd"/>
            <w:r w:rsidRPr="00534D4C">
              <w:t xml:space="preserve"> социально-педагогического мониторинга;</w:t>
            </w:r>
          </w:p>
          <w:p w:rsidR="00BF1905" w:rsidRPr="00534D4C" w:rsidRDefault="00BF1905" w:rsidP="00DF0108">
            <w:r w:rsidRPr="00534D4C">
              <w:t>-Доля обучающихся, задействованных в реализации дополнительных образовательных программ профилактической направленност</w:t>
            </w:r>
            <w:r>
              <w:t>и, от общего числа обучающихся;</w:t>
            </w:r>
          </w:p>
          <w:p w:rsidR="00BF1905" w:rsidRDefault="00BF1905" w:rsidP="00DF0108">
            <w:r w:rsidRPr="00534D4C">
              <w:t>-Реализация образовательных программ профильного обучения;</w:t>
            </w:r>
          </w:p>
          <w:p w:rsidR="00BF1905" w:rsidRPr="00534D4C" w:rsidRDefault="00BF1905" w:rsidP="00DF0108">
            <w:r>
              <w:t xml:space="preserve">- Реализация ФГОС. </w:t>
            </w:r>
          </w:p>
        </w:tc>
        <w:tc>
          <w:tcPr>
            <w:tcW w:w="3420" w:type="dxa"/>
          </w:tcPr>
          <w:p w:rsidR="00BF1905" w:rsidRDefault="00BF1905" w:rsidP="00DF0108">
            <w:r>
              <w:t>0</w:t>
            </w:r>
          </w:p>
          <w:p w:rsidR="00BF1905" w:rsidRDefault="00BF1905" w:rsidP="00DF0108"/>
          <w:p w:rsidR="00BF1905" w:rsidRDefault="00BF1905" w:rsidP="00DF0108"/>
          <w:p w:rsidR="00BF1905" w:rsidRDefault="00BF1905" w:rsidP="00DF0108"/>
          <w:p w:rsidR="00BF1905" w:rsidRDefault="00BF1905" w:rsidP="00DF0108"/>
          <w:p w:rsidR="00BF1905" w:rsidRDefault="00BF1905" w:rsidP="00DF0108">
            <w:r>
              <w:t>100%</w:t>
            </w:r>
          </w:p>
          <w:p w:rsidR="00BF1905" w:rsidRDefault="00BF1905" w:rsidP="00DF0108"/>
          <w:p w:rsidR="00BF1905" w:rsidRDefault="00BF1905" w:rsidP="00DF0108"/>
          <w:p w:rsidR="00BF1905" w:rsidRDefault="00BF1905" w:rsidP="00DF0108"/>
          <w:p w:rsidR="00BF1905" w:rsidRDefault="00BF1905" w:rsidP="00DF0108"/>
          <w:p w:rsidR="00BF1905" w:rsidRDefault="00BF1905" w:rsidP="00DF0108">
            <w:r>
              <w:t>0</w:t>
            </w:r>
          </w:p>
          <w:p w:rsidR="00BF1905" w:rsidRDefault="00BF1905" w:rsidP="00DF0108"/>
          <w:p w:rsidR="00BF1905" w:rsidRPr="00534D4C" w:rsidRDefault="00BF1905" w:rsidP="00DF0108">
            <w:r>
              <w:t>46,4%</w:t>
            </w:r>
          </w:p>
        </w:tc>
      </w:tr>
      <w:tr w:rsidR="00BF1905" w:rsidRPr="00534D4C" w:rsidTr="00DF0108">
        <w:tc>
          <w:tcPr>
            <w:tcW w:w="2268" w:type="dxa"/>
          </w:tcPr>
          <w:p w:rsidR="00BF1905" w:rsidRPr="00534D4C" w:rsidRDefault="00BF1905" w:rsidP="00DF0108">
            <w:r w:rsidRPr="00534D4C">
              <w:t>4.</w:t>
            </w:r>
            <w:r>
              <w:t xml:space="preserve"> Профессиональная </w:t>
            </w:r>
            <w:r w:rsidRPr="00534D4C">
              <w:t xml:space="preserve"> компетентность работников  </w:t>
            </w:r>
            <w:r w:rsidRPr="00534D4C">
              <w:lastRenderedPageBreak/>
              <w:t>образовательной организации.</w:t>
            </w:r>
          </w:p>
          <w:p w:rsidR="00BF1905" w:rsidRPr="00534D4C" w:rsidRDefault="00BF1905" w:rsidP="00DF0108"/>
        </w:tc>
        <w:tc>
          <w:tcPr>
            <w:tcW w:w="4140" w:type="dxa"/>
          </w:tcPr>
          <w:p w:rsidR="00BF1905" w:rsidRPr="00534D4C" w:rsidRDefault="00BF1905" w:rsidP="00DF0108">
            <w:r w:rsidRPr="00534D4C">
              <w:lastRenderedPageBreak/>
              <w:t>- Доля учителей, имеющих первую и высшую квалификационную категорию;</w:t>
            </w:r>
          </w:p>
          <w:p w:rsidR="00BF1905" w:rsidRPr="00534D4C" w:rsidRDefault="00BF1905" w:rsidP="00DF0108">
            <w:r w:rsidRPr="00534D4C">
              <w:t xml:space="preserve">-Доля учителей - победителей </w:t>
            </w:r>
            <w:r w:rsidRPr="00534D4C">
              <w:lastRenderedPageBreak/>
              <w:t>конкурса в рамках приоритетного национального проекта "Образование" от общего числа учителей;</w:t>
            </w:r>
          </w:p>
          <w:p w:rsidR="00BF1905" w:rsidRPr="00534D4C" w:rsidRDefault="00BF1905" w:rsidP="00DF0108">
            <w:r w:rsidRPr="00534D4C">
              <w:t>-Доля педагогических работников со стажем до 5-ти лет от общего числа педагогических работников учреждения.</w:t>
            </w:r>
          </w:p>
        </w:tc>
        <w:tc>
          <w:tcPr>
            <w:tcW w:w="3420" w:type="dxa"/>
          </w:tcPr>
          <w:p w:rsidR="00BF1905" w:rsidRDefault="00BF1905" w:rsidP="00DF0108">
            <w:r>
              <w:lastRenderedPageBreak/>
              <w:t>42%</w:t>
            </w:r>
          </w:p>
          <w:p w:rsidR="00BF1905" w:rsidRDefault="00BF1905" w:rsidP="00DF0108"/>
          <w:p w:rsidR="00BF1905" w:rsidRDefault="00BF1905" w:rsidP="00DF0108"/>
          <w:p w:rsidR="00BF1905" w:rsidRDefault="00BF1905" w:rsidP="00DF0108"/>
          <w:p w:rsidR="00BF1905" w:rsidRDefault="00BF1905" w:rsidP="00DF0108">
            <w:r>
              <w:lastRenderedPageBreak/>
              <w:t>0</w:t>
            </w:r>
          </w:p>
          <w:p w:rsidR="00BF1905" w:rsidRDefault="00BF1905" w:rsidP="00DF0108"/>
          <w:p w:rsidR="00BF1905" w:rsidRDefault="00BF1905" w:rsidP="00DF0108"/>
          <w:p w:rsidR="00BF1905" w:rsidRDefault="00BF1905" w:rsidP="00DF0108"/>
          <w:p w:rsidR="00BF1905" w:rsidRDefault="00BF1905" w:rsidP="00DF0108"/>
          <w:p w:rsidR="00BF1905" w:rsidRPr="00534D4C" w:rsidRDefault="00BF1905" w:rsidP="00DF0108">
            <w:r>
              <w:t>10,5%</w:t>
            </w:r>
          </w:p>
        </w:tc>
      </w:tr>
      <w:tr w:rsidR="00BF1905" w:rsidRPr="00534D4C" w:rsidTr="00DF0108">
        <w:tc>
          <w:tcPr>
            <w:tcW w:w="2268" w:type="dxa"/>
          </w:tcPr>
          <w:p w:rsidR="00BF1905" w:rsidRPr="00534D4C" w:rsidRDefault="00BF1905" w:rsidP="00DF0108">
            <w:r>
              <w:lastRenderedPageBreak/>
              <w:t>5. Качество</w:t>
            </w:r>
            <w:r w:rsidRPr="00534D4C">
              <w:t xml:space="preserve"> обслуживания  в образовательной организации.</w:t>
            </w:r>
          </w:p>
          <w:p w:rsidR="00BF1905" w:rsidRPr="00534D4C" w:rsidRDefault="00BF1905" w:rsidP="00DF0108"/>
        </w:tc>
        <w:tc>
          <w:tcPr>
            <w:tcW w:w="4140" w:type="dxa"/>
          </w:tcPr>
          <w:p w:rsidR="00BF1905" w:rsidRPr="00534D4C" w:rsidRDefault="00BF1905" w:rsidP="00DF0108">
            <w:r w:rsidRPr="00534D4C">
              <w:t>- Средний балл по русскому языку выпускников муниципальных  общеобразовательных учреждений по результатам ЕГЭ;</w:t>
            </w:r>
          </w:p>
          <w:p w:rsidR="00BF1905" w:rsidRPr="00534D4C" w:rsidRDefault="00BF1905" w:rsidP="00DF0108">
            <w:r w:rsidRPr="00534D4C">
              <w:t>-Средний балл по математике выпускников муниципальных  общеобразовательных учреждений по результатам ЕГЭ;</w:t>
            </w:r>
          </w:p>
          <w:p w:rsidR="00BF1905" w:rsidRPr="00534D4C" w:rsidRDefault="00BF1905" w:rsidP="00DF0108">
            <w:r w:rsidRPr="00534D4C">
              <w:t>-Доля выпускников муниципальных общеобразовательных учреждений, не получивших аттестат о среднем (полном) образовании, об основном общем образовании, от общей численности выпускников;</w:t>
            </w:r>
          </w:p>
          <w:p w:rsidR="00BF1905" w:rsidRPr="00534D4C" w:rsidRDefault="00BF1905" w:rsidP="00DF0108">
            <w:r w:rsidRPr="00534D4C">
              <w:t>-Доля победителей областных олимпиад от общего числа обучающихся;</w:t>
            </w:r>
          </w:p>
          <w:p w:rsidR="00BF1905" w:rsidRDefault="00BF1905" w:rsidP="00DF0108">
            <w:r w:rsidRPr="00534D4C">
              <w:t>-Количество победителей и призеров Всероссийских олимпиад;</w:t>
            </w:r>
          </w:p>
          <w:p w:rsidR="00BF1905" w:rsidRPr="00534D4C" w:rsidRDefault="00BF1905" w:rsidP="00DF0108">
            <w:r w:rsidRPr="00534D4C">
              <w:t>-Наличие статуса федеральной и/или областной экспериментальной площадки</w:t>
            </w:r>
          </w:p>
        </w:tc>
        <w:tc>
          <w:tcPr>
            <w:tcW w:w="3420" w:type="dxa"/>
          </w:tcPr>
          <w:p w:rsidR="00BF1905" w:rsidRDefault="00BF1905" w:rsidP="00DF0108">
            <w:r>
              <w:t>55,25</w:t>
            </w:r>
          </w:p>
          <w:p w:rsidR="00BF1905" w:rsidRDefault="00BF1905" w:rsidP="00DF0108"/>
          <w:p w:rsidR="00BF1905" w:rsidRDefault="00BF1905" w:rsidP="00DF0108"/>
          <w:p w:rsidR="00BF1905" w:rsidRDefault="00BF1905" w:rsidP="00DF0108"/>
          <w:p w:rsidR="00BF1905" w:rsidRDefault="00BF1905" w:rsidP="00DF0108"/>
          <w:p w:rsidR="00BF1905" w:rsidRDefault="00BF1905" w:rsidP="00DF0108">
            <w:r>
              <w:t>42,3</w:t>
            </w:r>
          </w:p>
          <w:p w:rsidR="00BF1905" w:rsidRDefault="00BF1905" w:rsidP="00DF0108"/>
          <w:p w:rsidR="00BF1905" w:rsidRDefault="00BF1905" w:rsidP="00DF0108"/>
          <w:p w:rsidR="00BF1905" w:rsidRDefault="00BF1905" w:rsidP="00DF0108">
            <w:r>
              <w:t>0</w:t>
            </w:r>
          </w:p>
          <w:p w:rsidR="00BF1905" w:rsidRDefault="00BF1905" w:rsidP="00DF0108"/>
          <w:p w:rsidR="00BF1905" w:rsidRDefault="00BF1905" w:rsidP="00DF0108"/>
          <w:p w:rsidR="00BF1905" w:rsidRDefault="00BF1905" w:rsidP="00DF0108"/>
          <w:p w:rsidR="00BF1905" w:rsidRDefault="00BF1905" w:rsidP="00DF0108"/>
          <w:p w:rsidR="00BF1905" w:rsidRDefault="00BF1905" w:rsidP="00DF0108"/>
          <w:p w:rsidR="00BF1905" w:rsidRDefault="00BF1905" w:rsidP="00DF0108"/>
          <w:p w:rsidR="00BF1905" w:rsidRDefault="00BF1905" w:rsidP="00DF0108">
            <w:r>
              <w:t>2,7%</w:t>
            </w:r>
          </w:p>
          <w:p w:rsidR="00BF1905" w:rsidRDefault="00BF1905" w:rsidP="00DF0108"/>
          <w:p w:rsidR="00BF1905" w:rsidRDefault="00BF1905" w:rsidP="00DF0108">
            <w:r>
              <w:t>5,4%</w:t>
            </w:r>
          </w:p>
          <w:p w:rsidR="00BF1905" w:rsidRDefault="00BF1905" w:rsidP="00DF0108"/>
          <w:p w:rsidR="00BF1905" w:rsidRDefault="00BF1905" w:rsidP="00DF0108"/>
          <w:p w:rsidR="00BF1905" w:rsidRPr="00534D4C" w:rsidRDefault="00BF1905" w:rsidP="00DF0108">
            <w:r>
              <w:t>Нет</w:t>
            </w:r>
          </w:p>
        </w:tc>
      </w:tr>
    </w:tbl>
    <w:p w:rsidR="00BF1905" w:rsidRDefault="00BF1905" w:rsidP="00BF1905">
      <w:pPr>
        <w:ind w:firstLine="360"/>
      </w:pPr>
    </w:p>
    <w:p w:rsidR="00BF1905" w:rsidRDefault="00BF1905" w:rsidP="00BF1905">
      <w:pPr>
        <w:ind w:firstLine="360"/>
      </w:pPr>
    </w:p>
    <w:p w:rsidR="00BF1905" w:rsidRDefault="00BF1905" w:rsidP="00BF1905">
      <w:pPr>
        <w:ind w:firstLine="360"/>
      </w:pPr>
    </w:p>
    <w:p w:rsidR="00BF1905" w:rsidRPr="004E5267" w:rsidRDefault="00BF1905" w:rsidP="00BF1905">
      <w:pPr>
        <w:ind w:firstLine="360"/>
      </w:pPr>
    </w:p>
    <w:p w:rsidR="004B52FB" w:rsidRDefault="004B52FB"/>
    <w:sectPr w:rsidR="004B52FB" w:rsidSect="001D62E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05"/>
    <w:rsid w:val="004B52FB"/>
    <w:rsid w:val="00BF1905"/>
    <w:rsid w:val="00F9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Ученик2311</dc:creator>
  <cp:lastModifiedBy>Ученик2311</cp:lastModifiedBy>
  <cp:revision>2</cp:revision>
  <dcterms:created xsi:type="dcterms:W3CDTF">2016-02-08T12:06:00Z</dcterms:created>
  <dcterms:modified xsi:type="dcterms:W3CDTF">2016-02-09T06:13:00Z</dcterms:modified>
</cp:coreProperties>
</file>